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9C" w:rsidRPr="0030479C" w:rsidRDefault="009C6ED2" w:rsidP="0030479C">
      <w:pPr>
        <w:tabs>
          <w:tab w:val="left" w:pos="9070"/>
        </w:tabs>
        <w:jc w:val="center"/>
        <w:rPr>
          <w:b/>
          <w:bCs/>
          <w:sz w:val="32"/>
          <w:szCs w:val="32"/>
        </w:rPr>
      </w:pPr>
      <w:r w:rsidRPr="009C6ED2">
        <w:rPr>
          <w:b/>
          <w:bCs/>
          <w:sz w:val="32"/>
          <w:szCs w:val="32"/>
        </w:rPr>
        <w:t>U</w:t>
      </w:r>
      <w:r>
        <w:rPr>
          <w:b/>
          <w:bCs/>
          <w:sz w:val="32"/>
          <w:szCs w:val="32"/>
          <w:lang w:val="fr-FR"/>
        </w:rPr>
        <w:t>LTRAFAST</w:t>
      </w:r>
      <w:r w:rsidRPr="009C6ED2">
        <w:rPr>
          <w:b/>
          <w:bCs/>
          <w:sz w:val="32"/>
          <w:szCs w:val="32"/>
        </w:rPr>
        <w:t xml:space="preserve"> </w:t>
      </w:r>
      <w:r>
        <w:rPr>
          <w:b/>
          <w:bCs/>
          <w:sz w:val="32"/>
          <w:szCs w:val="32"/>
          <w:lang w:val="fr-FR"/>
        </w:rPr>
        <w:t>ELECTRONIC</w:t>
      </w:r>
      <w:r w:rsidRPr="009C6ED2">
        <w:rPr>
          <w:b/>
          <w:bCs/>
          <w:sz w:val="32"/>
          <w:szCs w:val="32"/>
        </w:rPr>
        <w:t xml:space="preserve"> </w:t>
      </w:r>
      <w:r>
        <w:rPr>
          <w:b/>
          <w:bCs/>
          <w:sz w:val="32"/>
          <w:szCs w:val="32"/>
          <w:lang w:val="fr-FR"/>
        </w:rPr>
        <w:t>PROCESSES</w:t>
      </w:r>
      <w:r w:rsidRPr="009C6ED2">
        <w:rPr>
          <w:b/>
          <w:bCs/>
          <w:sz w:val="32"/>
          <w:szCs w:val="32"/>
        </w:rPr>
        <w:t xml:space="preserve"> </w:t>
      </w:r>
      <w:r>
        <w:rPr>
          <w:b/>
          <w:bCs/>
          <w:sz w:val="32"/>
          <w:szCs w:val="32"/>
          <w:lang w:val="fr-FR"/>
        </w:rPr>
        <w:t>IN</w:t>
      </w:r>
      <w:r w:rsidRPr="009C6ED2">
        <w:rPr>
          <w:b/>
          <w:bCs/>
          <w:sz w:val="32"/>
          <w:szCs w:val="32"/>
        </w:rPr>
        <w:t xml:space="preserve"> (</w:t>
      </w:r>
      <w:r>
        <w:rPr>
          <w:b/>
          <w:bCs/>
          <w:sz w:val="32"/>
          <w:szCs w:val="32"/>
          <w:lang w:val="fr-FR"/>
        </w:rPr>
        <w:t>SUPRA</w:t>
      </w:r>
      <w:r w:rsidRPr="009C6ED2">
        <w:rPr>
          <w:b/>
          <w:bCs/>
          <w:sz w:val="32"/>
          <w:szCs w:val="32"/>
        </w:rPr>
        <w:t>)</w:t>
      </w:r>
      <w:r>
        <w:rPr>
          <w:b/>
          <w:bCs/>
          <w:sz w:val="32"/>
          <w:szCs w:val="32"/>
          <w:lang w:val="fr-FR"/>
        </w:rPr>
        <w:t>MOLECULAR</w:t>
      </w:r>
      <w:r w:rsidRPr="009C6ED2">
        <w:rPr>
          <w:b/>
          <w:bCs/>
          <w:sz w:val="32"/>
          <w:szCs w:val="32"/>
        </w:rPr>
        <w:t xml:space="preserve"> </w:t>
      </w:r>
      <w:r>
        <w:rPr>
          <w:b/>
          <w:bCs/>
          <w:sz w:val="32"/>
          <w:szCs w:val="32"/>
          <w:lang w:val="fr-FR"/>
        </w:rPr>
        <w:t>SYSTEMS</w:t>
      </w:r>
    </w:p>
    <w:p w:rsidR="0030479C" w:rsidRPr="0030479C" w:rsidRDefault="009C6ED2" w:rsidP="0030479C">
      <w:pPr>
        <w:jc w:val="center"/>
        <w:rPr>
          <w:sz w:val="32"/>
          <w:szCs w:val="32"/>
        </w:rPr>
      </w:pPr>
      <w:r>
        <w:rPr>
          <w:sz w:val="32"/>
          <w:szCs w:val="32"/>
          <w:lang w:val="fr-FR"/>
        </w:rPr>
        <w:t xml:space="preserve">G. </w:t>
      </w:r>
      <w:proofErr w:type="spellStart"/>
      <w:r>
        <w:rPr>
          <w:sz w:val="32"/>
          <w:szCs w:val="32"/>
          <w:lang w:val="fr-FR"/>
        </w:rPr>
        <w:t>Jonusauskas</w:t>
      </w:r>
      <w:proofErr w:type="spellEnd"/>
    </w:p>
    <w:p w:rsidR="0030479C" w:rsidRPr="009C6ED2" w:rsidRDefault="009C6ED2" w:rsidP="009C6ED2">
      <w:pPr>
        <w:jc w:val="center"/>
        <w:rPr>
          <w:i/>
          <w:iCs/>
          <w:sz w:val="32"/>
          <w:szCs w:val="32"/>
          <w:lang w:val="fr-FR"/>
        </w:rPr>
      </w:pPr>
      <w:r w:rsidRPr="009C6ED2">
        <w:rPr>
          <w:i/>
          <w:iCs/>
          <w:sz w:val="32"/>
          <w:szCs w:val="32"/>
        </w:rPr>
        <w:t>Laboratoire Ondes et Matière d‘Aquitaine, Bordeaux University,</w:t>
      </w:r>
      <w:r>
        <w:rPr>
          <w:i/>
          <w:iCs/>
          <w:sz w:val="32"/>
          <w:szCs w:val="32"/>
          <w:lang w:val="fr-FR"/>
        </w:rPr>
        <w:t xml:space="preserve"> </w:t>
      </w:r>
      <w:r w:rsidRPr="009C6ED2">
        <w:rPr>
          <w:i/>
          <w:iCs/>
          <w:sz w:val="32"/>
          <w:szCs w:val="32"/>
        </w:rPr>
        <w:t>351 cours de la Libération, 33405 Talence, France</w:t>
      </w:r>
    </w:p>
    <w:p w:rsidR="0030479C" w:rsidRDefault="009C6ED2" w:rsidP="0030479C">
      <w:pPr>
        <w:jc w:val="center"/>
        <w:rPr>
          <w:i/>
          <w:iCs/>
          <w:sz w:val="32"/>
          <w:szCs w:val="32"/>
          <w:lang w:val="en-US"/>
        </w:rPr>
      </w:pPr>
      <w:r w:rsidRPr="009C6ED2">
        <w:rPr>
          <w:i/>
          <w:iCs/>
          <w:sz w:val="32"/>
          <w:szCs w:val="32"/>
          <w:lang w:val="en-US"/>
        </w:rPr>
        <w:t>gediminas.jonusauskas@u-bordeaux.fr</w:t>
      </w:r>
    </w:p>
    <w:p w:rsidR="009C6ED2" w:rsidRPr="0030479C" w:rsidRDefault="009C6ED2" w:rsidP="0030479C">
      <w:pPr>
        <w:jc w:val="center"/>
        <w:rPr>
          <w:sz w:val="32"/>
          <w:szCs w:val="32"/>
        </w:rPr>
      </w:pPr>
    </w:p>
    <w:p w:rsidR="003302F7" w:rsidRPr="003302F7" w:rsidRDefault="003302F7" w:rsidP="003302F7">
      <w:pPr>
        <w:widowControl w:val="0"/>
        <w:autoSpaceDE w:val="0"/>
        <w:autoSpaceDN w:val="0"/>
        <w:adjustRightInd w:val="0"/>
        <w:ind w:firstLine="567"/>
        <w:jc w:val="both"/>
        <w:rPr>
          <w:sz w:val="32"/>
          <w:szCs w:val="32"/>
        </w:rPr>
      </w:pPr>
      <w:r w:rsidRPr="003302F7">
        <w:rPr>
          <w:sz w:val="32"/>
          <w:szCs w:val="32"/>
        </w:rPr>
        <w:t xml:space="preserve">Since the invention of pulsed lasers, time resolved spectroscopic methods observed tremendous developments. The research around the world in different fields from physics and chemistry to biology, medicine and material science, widely utilize ultrafast optical spectroscopies nowadays. </w:t>
      </w:r>
    </w:p>
    <w:p w:rsidR="003302F7" w:rsidRDefault="003302F7" w:rsidP="003302F7">
      <w:pPr>
        <w:widowControl w:val="0"/>
        <w:autoSpaceDE w:val="0"/>
        <w:autoSpaceDN w:val="0"/>
        <w:adjustRightInd w:val="0"/>
        <w:ind w:firstLine="567"/>
        <w:jc w:val="both"/>
        <w:rPr>
          <w:sz w:val="32"/>
          <w:szCs w:val="32"/>
          <w:lang w:val="fr-FR"/>
        </w:rPr>
      </w:pPr>
      <w:r w:rsidRPr="003302F7">
        <w:rPr>
          <w:sz w:val="32"/>
          <w:szCs w:val="32"/>
        </w:rPr>
        <w:t>With pulse duration of 100 fs or less, it is possible to access most of the dynamics occurring in the excited electronic states: internal conversion, vibrational relaxation, intersystem crossing and many other processes leading to reactive pathways. The interplay between different electronic states often corresponding to different molecular geometries can be revealed and these studies can be profitable for the conception of new intelligent materials.</w:t>
      </w:r>
    </w:p>
    <w:p w:rsidR="007160FB" w:rsidRDefault="003302F7" w:rsidP="007160FB">
      <w:pPr>
        <w:widowControl w:val="0"/>
        <w:autoSpaceDE w:val="0"/>
        <w:autoSpaceDN w:val="0"/>
        <w:adjustRightInd w:val="0"/>
        <w:ind w:firstLine="567"/>
        <w:jc w:val="both"/>
        <w:rPr>
          <w:sz w:val="32"/>
          <w:szCs w:val="32"/>
          <w:lang w:val="fr-FR"/>
        </w:rPr>
      </w:pPr>
      <w:r w:rsidRPr="003302F7">
        <w:rPr>
          <w:sz w:val="32"/>
          <w:szCs w:val="32"/>
        </w:rPr>
        <w:t xml:space="preserve">In this report, </w:t>
      </w:r>
      <w:r>
        <w:rPr>
          <w:sz w:val="32"/>
          <w:szCs w:val="32"/>
          <w:lang w:val="fr-FR"/>
        </w:rPr>
        <w:t>I</w:t>
      </w:r>
      <w:r w:rsidRPr="003302F7">
        <w:rPr>
          <w:sz w:val="32"/>
          <w:szCs w:val="32"/>
        </w:rPr>
        <w:t xml:space="preserve"> will present numerous applications of practical value we continue to develop exploiting photoinitiated electronic processes in molecular and supramolecular systems. Since molecular association affects the energies of electronic levels, chemical recognition is among the most natural applications exploiting the energy and electron transfer in these supramolecular co</w:t>
      </w:r>
      <w:r w:rsidR="00D26BC4">
        <w:rPr>
          <w:sz w:val="32"/>
          <w:szCs w:val="32"/>
        </w:rPr>
        <w:t>mpounds [1</w:t>
      </w:r>
      <w:r w:rsidRPr="003302F7">
        <w:rPr>
          <w:sz w:val="32"/>
          <w:szCs w:val="32"/>
        </w:rPr>
        <w:t xml:space="preserve">]. As well as chemical sensing when energy or electron transfer is present but also photocatalytic </w:t>
      </w:r>
      <w:r w:rsidR="00D26BC4">
        <w:rPr>
          <w:sz w:val="32"/>
          <w:szCs w:val="32"/>
        </w:rPr>
        <w:t>processes can be initiated [</w:t>
      </w:r>
      <w:r w:rsidR="00D26BC4">
        <w:rPr>
          <w:sz w:val="32"/>
          <w:szCs w:val="32"/>
          <w:lang w:val="fr-FR"/>
        </w:rPr>
        <w:t>2</w:t>
      </w:r>
      <w:r w:rsidRPr="003302F7">
        <w:rPr>
          <w:sz w:val="32"/>
          <w:szCs w:val="32"/>
        </w:rPr>
        <w:t xml:space="preserve">], singlet oxygen </w:t>
      </w:r>
      <w:r w:rsidR="00D26BC4">
        <w:rPr>
          <w:sz w:val="32"/>
          <w:szCs w:val="32"/>
        </w:rPr>
        <w:t>generation can be obtained [</w:t>
      </w:r>
      <w:r w:rsidR="00D26BC4">
        <w:rPr>
          <w:sz w:val="32"/>
          <w:szCs w:val="32"/>
          <w:lang w:val="fr-FR"/>
        </w:rPr>
        <w:t>3</w:t>
      </w:r>
      <w:r w:rsidRPr="003302F7">
        <w:rPr>
          <w:sz w:val="32"/>
          <w:szCs w:val="32"/>
        </w:rPr>
        <w:t>], excited state lifetime can be spectacularly increased [</w:t>
      </w:r>
      <w:r w:rsidR="00D26BC4">
        <w:rPr>
          <w:sz w:val="32"/>
          <w:szCs w:val="32"/>
          <w:lang w:val="fr-FR"/>
        </w:rPr>
        <w:t>4</w:t>
      </w:r>
      <w:r w:rsidRPr="003302F7">
        <w:rPr>
          <w:sz w:val="32"/>
          <w:szCs w:val="32"/>
        </w:rPr>
        <w:t>], etc.</w:t>
      </w:r>
      <w:r>
        <w:rPr>
          <w:sz w:val="32"/>
          <w:szCs w:val="32"/>
        </w:rPr>
        <w:t xml:space="preserve"> </w:t>
      </w:r>
    </w:p>
    <w:p w:rsidR="007160FB" w:rsidRPr="007160FB" w:rsidRDefault="007160FB" w:rsidP="007160FB">
      <w:pPr>
        <w:widowControl w:val="0"/>
        <w:autoSpaceDE w:val="0"/>
        <w:autoSpaceDN w:val="0"/>
        <w:adjustRightInd w:val="0"/>
        <w:ind w:firstLine="567"/>
        <w:jc w:val="both"/>
        <w:rPr>
          <w:sz w:val="32"/>
          <w:szCs w:val="32"/>
          <w:lang w:val="fr-FR"/>
        </w:rPr>
      </w:pPr>
    </w:p>
    <w:p w:rsidR="0030479C" w:rsidRPr="00D26BC4" w:rsidRDefault="003302F7" w:rsidP="00D26BC4">
      <w:pPr>
        <w:pStyle w:val="Paragraphedeliste"/>
        <w:numPr>
          <w:ilvl w:val="0"/>
          <w:numId w:val="1"/>
        </w:numPr>
        <w:jc w:val="both"/>
        <w:rPr>
          <w:sz w:val="32"/>
          <w:szCs w:val="32"/>
          <w:lang w:val="fr-FR"/>
        </w:rPr>
      </w:pPr>
      <w:r w:rsidRPr="00D26BC4">
        <w:rPr>
          <w:sz w:val="32"/>
          <w:szCs w:val="32"/>
        </w:rPr>
        <w:t>P. A. Panchenko</w:t>
      </w:r>
      <w:r w:rsidR="00D26BC4" w:rsidRPr="00D26BC4">
        <w:rPr>
          <w:sz w:val="32"/>
          <w:szCs w:val="32"/>
          <w:lang w:val="fr-FR"/>
        </w:rPr>
        <w:t xml:space="preserve"> et al</w:t>
      </w:r>
      <w:r w:rsidRPr="00D26BC4">
        <w:rPr>
          <w:sz w:val="32"/>
          <w:szCs w:val="32"/>
        </w:rPr>
        <w:t xml:space="preserve">, Dyes </w:t>
      </w:r>
      <w:r w:rsidR="007006FA">
        <w:rPr>
          <w:sz w:val="32"/>
          <w:szCs w:val="32"/>
          <w:lang w:val="fr-FR"/>
        </w:rPr>
        <w:t xml:space="preserve">and </w:t>
      </w:r>
      <w:r w:rsidRPr="00D26BC4">
        <w:rPr>
          <w:sz w:val="32"/>
          <w:szCs w:val="32"/>
        </w:rPr>
        <w:t xml:space="preserve">Pigments, </w:t>
      </w:r>
      <w:r w:rsidRPr="00D26BC4">
        <w:rPr>
          <w:b/>
          <w:sz w:val="32"/>
          <w:szCs w:val="32"/>
        </w:rPr>
        <w:t>98</w:t>
      </w:r>
      <w:r w:rsidRPr="00D26BC4">
        <w:rPr>
          <w:sz w:val="32"/>
          <w:szCs w:val="32"/>
        </w:rPr>
        <w:t xml:space="preserve">, 347 (2013). </w:t>
      </w:r>
    </w:p>
    <w:p w:rsidR="00D26BC4" w:rsidRDefault="00D26BC4" w:rsidP="00D26BC4">
      <w:pPr>
        <w:pStyle w:val="Paragraphedeliste"/>
        <w:numPr>
          <w:ilvl w:val="0"/>
          <w:numId w:val="1"/>
        </w:numPr>
        <w:jc w:val="both"/>
        <w:rPr>
          <w:sz w:val="32"/>
          <w:szCs w:val="32"/>
          <w:lang w:val="fr-FR"/>
        </w:rPr>
      </w:pPr>
      <w:r w:rsidRPr="00D26BC4">
        <w:rPr>
          <w:sz w:val="32"/>
          <w:szCs w:val="32"/>
          <w:lang w:val="fr-FR"/>
        </w:rPr>
        <w:t xml:space="preserve">L. </w:t>
      </w:r>
      <w:proofErr w:type="spellStart"/>
      <w:r w:rsidRPr="00D26BC4">
        <w:rPr>
          <w:sz w:val="32"/>
          <w:szCs w:val="32"/>
          <w:lang w:val="fr-FR"/>
        </w:rPr>
        <w:t>Harmand</w:t>
      </w:r>
      <w:proofErr w:type="spellEnd"/>
      <w:r>
        <w:rPr>
          <w:sz w:val="32"/>
          <w:szCs w:val="32"/>
          <w:lang w:val="fr-FR"/>
        </w:rPr>
        <w:t xml:space="preserve"> et al</w:t>
      </w:r>
      <w:proofErr w:type="gramStart"/>
      <w:r w:rsidRPr="00D26BC4">
        <w:rPr>
          <w:sz w:val="32"/>
          <w:szCs w:val="32"/>
          <w:lang w:val="fr-FR"/>
        </w:rPr>
        <w:t>, ,</w:t>
      </w:r>
      <w:proofErr w:type="gramEnd"/>
      <w:r w:rsidRPr="00D26BC4">
        <w:rPr>
          <w:sz w:val="32"/>
          <w:szCs w:val="32"/>
          <w:lang w:val="fr-FR"/>
        </w:rPr>
        <w:t xml:space="preserve"> </w:t>
      </w:r>
      <w:proofErr w:type="spellStart"/>
      <w:r w:rsidRPr="00D26BC4">
        <w:rPr>
          <w:sz w:val="32"/>
          <w:szCs w:val="32"/>
          <w:lang w:val="fr-FR"/>
        </w:rPr>
        <w:t>Angewandte</w:t>
      </w:r>
      <w:proofErr w:type="spellEnd"/>
      <w:r w:rsidRPr="00D26BC4">
        <w:rPr>
          <w:sz w:val="32"/>
          <w:szCs w:val="32"/>
          <w:lang w:val="fr-FR"/>
        </w:rPr>
        <w:t xml:space="preserve"> </w:t>
      </w:r>
      <w:proofErr w:type="spellStart"/>
      <w:r w:rsidRPr="00D26BC4">
        <w:rPr>
          <w:sz w:val="32"/>
          <w:szCs w:val="32"/>
          <w:lang w:val="fr-FR"/>
        </w:rPr>
        <w:t>Chemie</w:t>
      </w:r>
      <w:proofErr w:type="spellEnd"/>
      <w:r w:rsidRPr="00D26BC4">
        <w:rPr>
          <w:sz w:val="32"/>
          <w:szCs w:val="32"/>
          <w:lang w:val="fr-FR"/>
        </w:rPr>
        <w:t xml:space="preserve"> International Edition, </w:t>
      </w:r>
      <w:r w:rsidRPr="007006FA">
        <w:rPr>
          <w:b/>
          <w:sz w:val="32"/>
          <w:szCs w:val="32"/>
          <w:lang w:val="fr-FR"/>
        </w:rPr>
        <w:t>51</w:t>
      </w:r>
      <w:r w:rsidRPr="00D26BC4">
        <w:rPr>
          <w:sz w:val="32"/>
          <w:szCs w:val="32"/>
          <w:lang w:val="fr-FR"/>
        </w:rPr>
        <w:t>, 7137 (2012).</w:t>
      </w:r>
    </w:p>
    <w:p w:rsidR="00D26BC4" w:rsidRDefault="00D26BC4" w:rsidP="00D26BC4">
      <w:pPr>
        <w:pStyle w:val="Paragraphedeliste"/>
        <w:numPr>
          <w:ilvl w:val="0"/>
          <w:numId w:val="1"/>
        </w:numPr>
        <w:jc w:val="both"/>
        <w:rPr>
          <w:sz w:val="32"/>
          <w:szCs w:val="32"/>
          <w:lang w:val="fr-FR"/>
        </w:rPr>
      </w:pPr>
      <w:r w:rsidRPr="00D26BC4">
        <w:rPr>
          <w:sz w:val="32"/>
          <w:szCs w:val="32"/>
          <w:lang w:val="fr-FR"/>
        </w:rPr>
        <w:t xml:space="preserve">P. </w:t>
      </w:r>
      <w:proofErr w:type="spellStart"/>
      <w:r w:rsidRPr="00D26BC4">
        <w:rPr>
          <w:sz w:val="32"/>
          <w:szCs w:val="32"/>
          <w:lang w:val="fr-FR"/>
        </w:rPr>
        <w:t>Batat</w:t>
      </w:r>
      <w:proofErr w:type="spellEnd"/>
      <w:r>
        <w:rPr>
          <w:sz w:val="32"/>
          <w:szCs w:val="32"/>
          <w:lang w:val="fr-FR"/>
        </w:rPr>
        <w:t xml:space="preserve"> et al</w:t>
      </w:r>
      <w:r w:rsidRPr="00D26BC4">
        <w:rPr>
          <w:sz w:val="32"/>
          <w:szCs w:val="32"/>
          <w:lang w:val="fr-FR"/>
        </w:rPr>
        <w:t xml:space="preserve">, Journal of </w:t>
      </w:r>
      <w:proofErr w:type="spellStart"/>
      <w:r w:rsidRPr="00D26BC4">
        <w:rPr>
          <w:sz w:val="32"/>
          <w:szCs w:val="32"/>
          <w:lang w:val="fr-FR"/>
        </w:rPr>
        <w:t>Physical</w:t>
      </w:r>
      <w:proofErr w:type="spellEnd"/>
      <w:r w:rsidRPr="00D26BC4">
        <w:rPr>
          <w:sz w:val="32"/>
          <w:szCs w:val="32"/>
          <w:lang w:val="fr-FR"/>
        </w:rPr>
        <w:t xml:space="preserve"> </w:t>
      </w:r>
      <w:proofErr w:type="spellStart"/>
      <w:r w:rsidRPr="00D26BC4">
        <w:rPr>
          <w:sz w:val="32"/>
          <w:szCs w:val="32"/>
          <w:lang w:val="fr-FR"/>
        </w:rPr>
        <w:t>Chemistry</w:t>
      </w:r>
      <w:proofErr w:type="spellEnd"/>
      <w:r w:rsidRPr="00D26BC4">
        <w:rPr>
          <w:sz w:val="32"/>
          <w:szCs w:val="32"/>
          <w:lang w:val="fr-FR"/>
        </w:rPr>
        <w:t xml:space="preserve"> A, </w:t>
      </w:r>
      <w:r w:rsidRPr="007006FA">
        <w:rPr>
          <w:b/>
          <w:sz w:val="32"/>
          <w:szCs w:val="32"/>
          <w:lang w:val="fr-FR"/>
        </w:rPr>
        <w:t>115</w:t>
      </w:r>
      <w:r w:rsidRPr="00D26BC4">
        <w:rPr>
          <w:sz w:val="32"/>
          <w:szCs w:val="32"/>
          <w:lang w:val="fr-FR"/>
        </w:rPr>
        <w:t>, 14034 (2011).</w:t>
      </w:r>
    </w:p>
    <w:p w:rsidR="00D26BC4" w:rsidRPr="00D26BC4" w:rsidRDefault="00D26BC4" w:rsidP="00D26BC4">
      <w:pPr>
        <w:pStyle w:val="Paragraphedeliste"/>
        <w:numPr>
          <w:ilvl w:val="0"/>
          <w:numId w:val="1"/>
        </w:numPr>
        <w:jc w:val="both"/>
        <w:rPr>
          <w:sz w:val="32"/>
          <w:szCs w:val="32"/>
          <w:lang w:val="fr-FR"/>
        </w:rPr>
      </w:pPr>
      <w:r w:rsidRPr="00D26BC4">
        <w:rPr>
          <w:sz w:val="32"/>
          <w:szCs w:val="32"/>
          <w:lang w:val="fr-FR"/>
        </w:rPr>
        <w:t xml:space="preserve">Y. </w:t>
      </w:r>
      <w:proofErr w:type="spellStart"/>
      <w:r w:rsidRPr="00D26BC4">
        <w:rPr>
          <w:sz w:val="32"/>
          <w:szCs w:val="32"/>
          <w:lang w:val="fr-FR"/>
        </w:rPr>
        <w:t>Leydet</w:t>
      </w:r>
      <w:proofErr w:type="spellEnd"/>
      <w:r>
        <w:rPr>
          <w:sz w:val="32"/>
          <w:szCs w:val="32"/>
          <w:lang w:val="fr-FR"/>
        </w:rPr>
        <w:t xml:space="preserve"> et al</w:t>
      </w:r>
      <w:r w:rsidRPr="00D26BC4">
        <w:rPr>
          <w:sz w:val="32"/>
          <w:szCs w:val="32"/>
          <w:lang w:val="fr-FR"/>
        </w:rPr>
        <w:t xml:space="preserve">, Journal of the American </w:t>
      </w:r>
      <w:proofErr w:type="spellStart"/>
      <w:r w:rsidRPr="00D26BC4">
        <w:rPr>
          <w:sz w:val="32"/>
          <w:szCs w:val="32"/>
          <w:lang w:val="fr-FR"/>
        </w:rPr>
        <w:t>Chemical</w:t>
      </w:r>
      <w:proofErr w:type="spellEnd"/>
      <w:r w:rsidRPr="00D26BC4">
        <w:rPr>
          <w:sz w:val="32"/>
          <w:szCs w:val="32"/>
          <w:lang w:val="fr-FR"/>
        </w:rPr>
        <w:t xml:space="preserve"> Society, </w:t>
      </w:r>
      <w:r w:rsidRPr="007006FA">
        <w:rPr>
          <w:b/>
          <w:sz w:val="32"/>
          <w:szCs w:val="32"/>
          <w:lang w:val="fr-FR"/>
        </w:rPr>
        <w:t>129</w:t>
      </w:r>
      <w:r w:rsidRPr="00D26BC4">
        <w:rPr>
          <w:sz w:val="32"/>
          <w:szCs w:val="32"/>
          <w:lang w:val="fr-FR"/>
        </w:rPr>
        <w:t>, 8688 (2007).</w:t>
      </w:r>
    </w:p>
    <w:sectPr w:rsidR="00D26BC4" w:rsidRPr="00D26BC4" w:rsidSect="003D5F35">
      <w:pgSz w:w="11906" w:h="16838"/>
      <w:pgMar w:top="1418"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995" w:rsidRDefault="00B31995" w:rsidP="00706C27">
      <w:r>
        <w:separator/>
      </w:r>
    </w:p>
  </w:endnote>
  <w:endnote w:type="continuationSeparator" w:id="0">
    <w:p w:rsidR="00B31995" w:rsidRDefault="00B31995" w:rsidP="00706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995" w:rsidRDefault="00B31995" w:rsidP="00706C27">
      <w:r>
        <w:separator/>
      </w:r>
    </w:p>
  </w:footnote>
  <w:footnote w:type="continuationSeparator" w:id="0">
    <w:p w:rsidR="00B31995" w:rsidRDefault="00B31995" w:rsidP="00706C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A97"/>
    <w:multiLevelType w:val="hybridMultilevel"/>
    <w:tmpl w:val="478418E6"/>
    <w:lvl w:ilvl="0" w:tplc="0E202E9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0479C"/>
    <w:rsid w:val="00054129"/>
    <w:rsid w:val="00244FD8"/>
    <w:rsid w:val="00296468"/>
    <w:rsid w:val="0030479C"/>
    <w:rsid w:val="00327C85"/>
    <w:rsid w:val="003302F7"/>
    <w:rsid w:val="00350E7F"/>
    <w:rsid w:val="003D5F35"/>
    <w:rsid w:val="00502355"/>
    <w:rsid w:val="007006FA"/>
    <w:rsid w:val="00706C27"/>
    <w:rsid w:val="007160FB"/>
    <w:rsid w:val="007511A1"/>
    <w:rsid w:val="007553C2"/>
    <w:rsid w:val="007801F3"/>
    <w:rsid w:val="007946F4"/>
    <w:rsid w:val="00836588"/>
    <w:rsid w:val="008408B3"/>
    <w:rsid w:val="0089083E"/>
    <w:rsid w:val="009B3D7F"/>
    <w:rsid w:val="009C6ED2"/>
    <w:rsid w:val="009E360A"/>
    <w:rsid w:val="00AC7B08"/>
    <w:rsid w:val="00B31995"/>
    <w:rsid w:val="00B44317"/>
    <w:rsid w:val="00B613A0"/>
    <w:rsid w:val="00B6613E"/>
    <w:rsid w:val="00BD247D"/>
    <w:rsid w:val="00CE6E59"/>
    <w:rsid w:val="00D26BC4"/>
    <w:rsid w:val="00D85117"/>
    <w:rsid w:val="00E60FE3"/>
    <w:rsid w:val="00EE4510"/>
    <w:rsid w:val="00F072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9C"/>
    <w:pPr>
      <w:spacing w:after="0" w:line="240" w:lineRule="auto"/>
    </w:pPr>
    <w:rPr>
      <w:sz w:val="24"/>
      <w:szCs w:val="24"/>
      <w:lang w:val="ru-RU" w:eastAsia="ru-RU"/>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30479C"/>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ru-RU" w:eastAsia="ru-RU"/>
    </w:rPr>
  </w:style>
  <w:style w:type="paragraph" w:styleId="Notedebasdepage">
    <w:name w:val="footnote text"/>
    <w:basedOn w:val="Normal"/>
    <w:link w:val="NotedebasdepageCar"/>
    <w:uiPriority w:val="99"/>
    <w:semiHidden/>
    <w:rsid w:val="00706C27"/>
    <w:rPr>
      <w:sz w:val="20"/>
      <w:szCs w:val="20"/>
    </w:rPr>
  </w:style>
  <w:style w:type="character" w:styleId="Appelnotedebasdep">
    <w:name w:val="footnote reference"/>
    <w:basedOn w:val="Policepardfaut"/>
    <w:uiPriority w:val="99"/>
    <w:semiHidden/>
    <w:rsid w:val="00706C27"/>
    <w:rPr>
      <w:vertAlign w:val="superscript"/>
    </w:rPr>
  </w:style>
  <w:style w:type="character" w:customStyle="1" w:styleId="NotedebasdepageCar">
    <w:name w:val="Note de bas de page Car"/>
    <w:basedOn w:val="Policepardfaut"/>
    <w:link w:val="Notedebasdepage"/>
    <w:uiPriority w:val="99"/>
    <w:locked/>
    <w:rsid w:val="00706C27"/>
  </w:style>
  <w:style w:type="table" w:styleId="Grilledutableau">
    <w:name w:val="Table Grid"/>
    <w:basedOn w:val="TableauNormal"/>
    <w:uiPriority w:val="99"/>
    <w:rsid w:val="00706C27"/>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26B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1596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ЛЮМИНЕСЦЕНТНЫЕ СВОЙСТВА КООРДИНАЦИОННЫХ СОЕДИНЕНИЙ РЗЭ</vt:lpstr>
    </vt:vector>
  </TitlesOfParts>
  <Company>КубГУ</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ЛЮМИНЕСЦЕНТНЫЕ СВОЙСТВА КООРДИНАЦИОННЫХ СОЕДИНЕНИЙ РЗЭ</dc:title>
  <dc:creator>Кубанский государственный университет</dc:creator>
  <cp:lastModifiedBy>Gedas</cp:lastModifiedBy>
  <cp:revision>5</cp:revision>
  <cp:lastPrinted>2012-04-26T15:33:00Z</cp:lastPrinted>
  <dcterms:created xsi:type="dcterms:W3CDTF">2015-06-12T08:44:00Z</dcterms:created>
  <dcterms:modified xsi:type="dcterms:W3CDTF">2015-06-12T08:56:00Z</dcterms:modified>
</cp:coreProperties>
</file>